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bookmarkStart w:id="0" w:name="_GoBack"/>
      <w:bookmarkEnd w:id="0"/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2C192C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B6121F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>
        <w:rPr>
          <w:bCs/>
          <w:u w:val="single"/>
          <w:lang w:val="uk-UA" w:eastAsia="ru-RU"/>
        </w:rPr>
        <w:t xml:space="preserve">від 21.05.2021 </w:t>
      </w:r>
      <w:r w:rsidR="00DB0A39" w:rsidRPr="004D67E6">
        <w:rPr>
          <w:bCs/>
          <w:u w:val="single"/>
          <w:lang w:val="uk-UA" w:eastAsia="ru-RU"/>
        </w:rPr>
        <w:t>№</w:t>
      </w:r>
      <w:r>
        <w:rPr>
          <w:bCs/>
          <w:u w:val="single"/>
          <w:lang w:val="uk-UA" w:eastAsia="ru-RU"/>
        </w:rPr>
        <w:t>161</w:t>
      </w:r>
      <w:r w:rsidR="008132CB">
        <w:rPr>
          <w:bCs/>
          <w:u w:val="single"/>
          <w:lang w:val="uk-UA" w:eastAsia="ru-RU"/>
        </w:rPr>
        <w:t xml:space="preserve"> </w:t>
      </w:r>
    </w:p>
    <w:p w:rsidR="003E55E0" w:rsidRPr="0048639D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Про надання дозволу</w:t>
      </w:r>
    </w:p>
    <w:p w:rsidR="008B7315" w:rsidRDefault="008B7315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комунальному підприємству</w:t>
      </w:r>
      <w:r w:rsidR="003E55E0" w:rsidRPr="0048639D">
        <w:rPr>
          <w:lang w:val="uk-UA" w:eastAsia="ru-RU"/>
        </w:rPr>
        <w:t xml:space="preserve"> «</w:t>
      </w:r>
      <w:r w:rsidR="00F754A6">
        <w:rPr>
          <w:lang w:val="uk-UA" w:eastAsia="ru-RU"/>
        </w:rPr>
        <w:t>Екоресурс</w:t>
      </w:r>
      <w:r w:rsidR="003E55E0" w:rsidRPr="0048639D">
        <w:rPr>
          <w:lang w:val="uk-UA" w:eastAsia="ru-RU"/>
        </w:rPr>
        <w:t>»</w:t>
      </w:r>
    </w:p>
    <w:p w:rsidR="003E55E0" w:rsidRPr="0048639D" w:rsidRDefault="008B7315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Малинської міської ради Житомирської області</w:t>
      </w:r>
      <w:r w:rsidR="00DB0A39" w:rsidRPr="0048639D">
        <w:rPr>
          <w:lang w:val="uk-UA" w:eastAsia="ru-RU"/>
        </w:rPr>
        <w:t xml:space="preserve"> </w:t>
      </w:r>
    </w:p>
    <w:p w:rsidR="000B582C" w:rsidRPr="0048639D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 xml:space="preserve">на проведення </w:t>
      </w:r>
      <w:r w:rsidR="0048639D" w:rsidRPr="0048639D">
        <w:rPr>
          <w:lang w:val="uk-UA" w:eastAsia="ru-RU"/>
        </w:rPr>
        <w:t>робіт</w:t>
      </w:r>
    </w:p>
    <w:p w:rsidR="0048639D" w:rsidRPr="003B7C1A" w:rsidRDefault="00DB0A39" w:rsidP="0048639D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48639D">
        <w:rPr>
          <w:lang w:val="uk-UA" w:eastAsia="ru-RU"/>
        </w:rPr>
        <w:t>по видаленню</w:t>
      </w:r>
      <w:r w:rsidR="0048639D">
        <w:rPr>
          <w:lang w:val="uk-UA" w:eastAsia="ru-RU"/>
        </w:rPr>
        <w:t xml:space="preserve"> сушняку,</w:t>
      </w:r>
      <w:r w:rsidR="0048639D" w:rsidRPr="0048639D">
        <w:rPr>
          <w:lang w:val="uk-UA" w:eastAsia="ru-RU"/>
        </w:rPr>
        <w:t xml:space="preserve"> </w:t>
      </w:r>
      <w:r w:rsidR="0048639D">
        <w:rPr>
          <w:lang w:val="uk-UA" w:eastAsia="ru-RU"/>
        </w:rPr>
        <w:t>сухостою</w:t>
      </w:r>
    </w:p>
    <w:p w:rsidR="000B582C" w:rsidRPr="0048639D" w:rsidRDefault="000B582C" w:rsidP="00AE70A8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8B7315" w:rsidRDefault="00DB0A39" w:rsidP="009D5DEE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b/>
          <w:lang w:val="uk-UA" w:eastAsia="ru-RU"/>
        </w:rPr>
      </w:pPr>
      <w:r w:rsidRPr="00D36546">
        <w:rPr>
          <w:lang w:val="uk-UA" w:eastAsia="ru-RU"/>
        </w:rPr>
        <w:t>Керуючись  Закон</w:t>
      </w:r>
      <w:r w:rsidR="00B17FB4">
        <w:rPr>
          <w:lang w:val="uk-UA" w:eastAsia="ru-RU"/>
        </w:rPr>
        <w:t>ами</w:t>
      </w:r>
      <w:r w:rsidRPr="00D36546">
        <w:rPr>
          <w:lang w:val="uk-UA" w:eastAsia="ru-RU"/>
        </w:rPr>
        <w:t xml:space="preserve"> України «Про місцеве самоврядува</w:t>
      </w:r>
      <w:r w:rsidR="000B582C" w:rsidRPr="00D36546">
        <w:rPr>
          <w:lang w:val="uk-UA" w:eastAsia="ru-RU"/>
        </w:rPr>
        <w:t>ння в Україні»,</w:t>
      </w:r>
      <w:r w:rsidR="00B17FB4">
        <w:rPr>
          <w:lang w:val="uk-UA" w:eastAsia="ru-RU"/>
        </w:rPr>
        <w:t xml:space="preserve"> «Про рослинний світ»</w:t>
      </w:r>
      <w:r w:rsidR="003E55E0">
        <w:rPr>
          <w:lang w:val="uk-UA" w:eastAsia="ru-RU"/>
        </w:rPr>
        <w:t>,</w:t>
      </w:r>
      <w:r w:rsidR="003B7C1A">
        <w:rPr>
          <w:lang w:val="uk-UA" w:eastAsia="ru-RU"/>
        </w:rPr>
        <w:t xml:space="preserve"> «Про благоустрій населених пунктів», </w:t>
      </w:r>
      <w:r w:rsidR="003E55E0">
        <w:rPr>
          <w:lang w:val="uk-UA" w:eastAsia="ru-RU"/>
        </w:rPr>
        <w:t>Лісов</w:t>
      </w:r>
      <w:r w:rsidR="003B7C1A">
        <w:rPr>
          <w:lang w:val="uk-UA" w:eastAsia="ru-RU"/>
        </w:rPr>
        <w:t>им</w:t>
      </w:r>
      <w:r w:rsidR="003E55E0">
        <w:rPr>
          <w:lang w:val="uk-UA" w:eastAsia="ru-RU"/>
        </w:rPr>
        <w:t xml:space="preserve"> кодекс</w:t>
      </w:r>
      <w:r w:rsidR="003B7C1A">
        <w:rPr>
          <w:lang w:val="uk-UA" w:eastAsia="ru-RU"/>
        </w:rPr>
        <w:t>ом</w:t>
      </w:r>
      <w:r w:rsidR="008A758F">
        <w:rPr>
          <w:lang w:val="uk-UA" w:eastAsia="ru-RU"/>
        </w:rPr>
        <w:t xml:space="preserve"> України</w:t>
      </w:r>
      <w:r w:rsidR="000B582C" w:rsidRPr="00D36546">
        <w:rPr>
          <w:lang w:val="uk-UA" w:eastAsia="ru-RU"/>
        </w:rPr>
        <w:t>, н</w:t>
      </w:r>
      <w:r w:rsidRPr="00D36546">
        <w:rPr>
          <w:lang w:val="uk-UA" w:eastAsia="ru-RU"/>
        </w:rPr>
        <w:t>аказ</w:t>
      </w:r>
      <w:r w:rsidR="008B7315">
        <w:rPr>
          <w:lang w:val="uk-UA" w:eastAsia="ru-RU"/>
        </w:rPr>
        <w:t>ом</w:t>
      </w:r>
      <w:r w:rsidRPr="00D36546">
        <w:rPr>
          <w:lang w:val="uk-UA" w:eastAsia="ru-RU"/>
        </w:rPr>
        <w:t xml:space="preserve"> Міністерства будівництва, архітектури та</w:t>
      </w:r>
      <w:r w:rsidR="003E55E0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житлово-комунального господарства України від  10.04.2006 № 105 «Про </w:t>
      </w:r>
      <w:r w:rsidR="003E55E0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розглянувши </w:t>
      </w:r>
      <w:r w:rsidR="0048639D">
        <w:rPr>
          <w:lang w:val="uk-UA" w:eastAsia="ru-RU"/>
        </w:rPr>
        <w:t>клопотання</w:t>
      </w:r>
      <w:r w:rsidRPr="00D36546">
        <w:rPr>
          <w:lang w:val="uk-UA" w:eastAsia="ru-RU"/>
        </w:rPr>
        <w:t xml:space="preserve"> про надання дозволу на видалення зелених насаджень</w:t>
      </w:r>
      <w:r w:rsidR="0048639D">
        <w:rPr>
          <w:lang w:val="uk-UA" w:eastAsia="ru-RU"/>
        </w:rPr>
        <w:t xml:space="preserve"> (сушняку, сухостою)</w:t>
      </w:r>
      <w:r w:rsidRPr="00D36546">
        <w:rPr>
          <w:lang w:val="uk-UA" w:eastAsia="ru-RU"/>
        </w:rPr>
        <w:t>, оскільки дані дерева по причині аварійного стану становлять загрозу</w:t>
      </w:r>
      <w:r w:rsidR="0048639D">
        <w:rPr>
          <w:lang w:val="uk-UA" w:eastAsia="ru-RU"/>
        </w:rPr>
        <w:t xml:space="preserve">, </w:t>
      </w:r>
      <w:r w:rsidRPr="00D36546">
        <w:rPr>
          <w:lang w:val="uk-UA" w:eastAsia="ru-RU"/>
        </w:rPr>
        <w:t xml:space="preserve"> та з метою забезпечення належного утримання та контролю за станом зелених насаджень у м.Малині,  виконавчий комітет міської ради         </w:t>
      </w:r>
      <w:r w:rsidR="00776641">
        <w:rPr>
          <w:lang w:val="uk-UA" w:eastAsia="ru-RU"/>
        </w:rPr>
        <w:t xml:space="preserve">           </w:t>
      </w:r>
      <w:r w:rsidRPr="003B7C1A">
        <w:rPr>
          <w:b/>
          <w:lang w:val="uk-UA" w:eastAsia="ru-RU"/>
        </w:rPr>
        <w:t xml:space="preserve"> </w:t>
      </w:r>
    </w:p>
    <w:p w:rsidR="003B7C1A" w:rsidRPr="0048639D" w:rsidRDefault="008B7315" w:rsidP="008B731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b/>
          <w:lang w:val="uk-UA" w:eastAsia="ru-RU"/>
        </w:rPr>
        <w:t xml:space="preserve">     </w:t>
      </w:r>
      <w:r w:rsidR="00DB0A39" w:rsidRPr="0048639D">
        <w:rPr>
          <w:lang w:val="uk-UA" w:eastAsia="ru-RU"/>
        </w:rPr>
        <w:t xml:space="preserve">В И Р І Ш И В : </w:t>
      </w:r>
    </w:p>
    <w:p w:rsidR="00DB0A39" w:rsidRDefault="00776641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     </w:t>
      </w:r>
      <w:r w:rsidR="001316DB">
        <w:rPr>
          <w:lang w:val="uk-UA" w:eastAsia="ru-RU"/>
        </w:rPr>
        <w:t>1</w:t>
      </w:r>
      <w:r w:rsidR="00D047E7" w:rsidRPr="00D36546">
        <w:rPr>
          <w:lang w:val="uk-UA" w:eastAsia="ru-RU"/>
        </w:rPr>
        <w:t>.</w:t>
      </w:r>
      <w:r w:rsidR="00FB7094" w:rsidRPr="00D36546">
        <w:rPr>
          <w:lang w:val="uk-UA" w:eastAsia="ru-RU"/>
        </w:rPr>
        <w:t xml:space="preserve">Надати дозвіл </w:t>
      </w:r>
      <w:r w:rsidR="008B7315">
        <w:rPr>
          <w:lang w:val="uk-UA" w:eastAsia="ru-RU"/>
        </w:rPr>
        <w:t xml:space="preserve">комунальному підприємству </w:t>
      </w:r>
      <w:r w:rsidR="003E55E0">
        <w:rPr>
          <w:lang w:val="uk-UA" w:eastAsia="ru-RU"/>
        </w:rPr>
        <w:t>«</w:t>
      </w:r>
      <w:r w:rsidR="00F754A6">
        <w:rPr>
          <w:lang w:val="uk-UA" w:eastAsia="ru-RU"/>
        </w:rPr>
        <w:t>Екоресурс</w:t>
      </w:r>
      <w:r w:rsidR="003E55E0">
        <w:rPr>
          <w:lang w:val="uk-UA" w:eastAsia="ru-RU"/>
        </w:rPr>
        <w:t>»</w:t>
      </w:r>
      <w:r w:rsidR="008B7315">
        <w:rPr>
          <w:lang w:val="uk-UA" w:eastAsia="ru-RU"/>
        </w:rPr>
        <w:t xml:space="preserve"> Малинської міської ради Житомирської області</w:t>
      </w:r>
      <w:r w:rsidR="00DB0A39" w:rsidRPr="00D36546">
        <w:rPr>
          <w:lang w:val="uk-UA" w:eastAsia="ru-RU"/>
        </w:rPr>
        <w:t xml:space="preserve"> на проведення робіт по видаленню</w:t>
      </w:r>
      <w:r w:rsidR="003E55E0">
        <w:rPr>
          <w:lang w:val="uk-UA" w:eastAsia="ru-RU"/>
        </w:rPr>
        <w:t xml:space="preserve"> </w:t>
      </w:r>
      <w:r w:rsidR="0048639D">
        <w:rPr>
          <w:lang w:val="uk-UA" w:eastAsia="ru-RU"/>
        </w:rPr>
        <w:t>сушняку, сухостою</w:t>
      </w:r>
      <w:r w:rsidR="003B7C1A">
        <w:rPr>
          <w:lang w:val="uk-UA" w:eastAsia="ru-RU"/>
        </w:rPr>
        <w:t>,</w:t>
      </w:r>
      <w:r w:rsidR="008B7315">
        <w:rPr>
          <w:lang w:val="uk-UA" w:eastAsia="ru-RU"/>
        </w:rPr>
        <w:t xml:space="preserve"> що</w:t>
      </w:r>
      <w:r w:rsidR="008B7315" w:rsidRPr="008B7315">
        <w:rPr>
          <w:lang w:val="uk-UA" w:eastAsia="ru-RU"/>
        </w:rPr>
        <w:t xml:space="preserve"> </w:t>
      </w:r>
      <w:r w:rsidR="008B7315">
        <w:rPr>
          <w:lang w:val="uk-UA" w:eastAsia="ru-RU"/>
        </w:rPr>
        <w:t>знаходяться за адресою по вул. Приходька (напроти Фабрики банкнотного паперу),</w:t>
      </w:r>
      <w:r w:rsidR="0048639D" w:rsidRPr="0048639D">
        <w:rPr>
          <w:lang w:val="uk-UA" w:eastAsia="ru-RU"/>
        </w:rPr>
        <w:t xml:space="preserve"> </w:t>
      </w:r>
      <w:r w:rsidR="0048639D" w:rsidRPr="00D36546">
        <w:rPr>
          <w:lang w:val="uk-UA" w:eastAsia="ru-RU"/>
        </w:rPr>
        <w:t>оскільки дані дерева по причині аварійного стану становлять загрозу</w:t>
      </w:r>
      <w:r w:rsidR="003F5FD9">
        <w:rPr>
          <w:lang w:val="uk-UA" w:eastAsia="ru-RU"/>
        </w:rPr>
        <w:t xml:space="preserve"> (</w:t>
      </w:r>
      <w:r w:rsidR="004749D4">
        <w:rPr>
          <w:lang w:val="uk-UA" w:eastAsia="ru-RU"/>
        </w:rPr>
        <w:t>д</w:t>
      </w:r>
      <w:r w:rsidR="003F5FD9">
        <w:rPr>
          <w:lang w:val="uk-UA" w:eastAsia="ru-RU"/>
        </w:rPr>
        <w:t>одаток</w:t>
      </w:r>
      <w:r w:rsidR="004749D4">
        <w:rPr>
          <w:lang w:val="uk-UA" w:eastAsia="ru-RU"/>
        </w:rPr>
        <w:t xml:space="preserve"> 1</w:t>
      </w:r>
      <w:r w:rsidR="003F5FD9">
        <w:rPr>
          <w:lang w:val="uk-UA" w:eastAsia="ru-RU"/>
        </w:rPr>
        <w:t>).</w:t>
      </w:r>
    </w:p>
    <w:p w:rsidR="001316DB" w:rsidRPr="009D5DEE" w:rsidRDefault="00776641" w:rsidP="0000597D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    </w:t>
      </w:r>
      <w:r w:rsidR="009D5DEE">
        <w:rPr>
          <w:lang w:val="uk-UA" w:eastAsia="ru-RU"/>
        </w:rPr>
        <w:t>2.</w:t>
      </w:r>
      <w:r w:rsidR="0000597D">
        <w:rPr>
          <w:lang w:val="uk-UA" w:eastAsia="ru-RU"/>
        </w:rPr>
        <w:t xml:space="preserve">Отриману деревину </w:t>
      </w:r>
      <w:r w:rsidR="008B7315">
        <w:rPr>
          <w:lang w:val="uk-UA" w:eastAsia="ru-RU"/>
        </w:rPr>
        <w:t>передати</w:t>
      </w:r>
      <w:r w:rsidR="00F754A6">
        <w:rPr>
          <w:lang w:val="uk-UA" w:eastAsia="ru-RU"/>
        </w:rPr>
        <w:t xml:space="preserve"> на потреби закладів освіти (шкіл, садочків).</w:t>
      </w:r>
    </w:p>
    <w:p w:rsidR="00DB0A39" w:rsidRDefault="00776641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    </w:t>
      </w:r>
      <w:r w:rsidR="009D5DEE">
        <w:rPr>
          <w:lang w:val="uk-UA" w:eastAsia="ru-RU"/>
        </w:rPr>
        <w:t>3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B4135D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8B7315" w:rsidRDefault="008B731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00597D" w:rsidRPr="00D36546" w:rsidRDefault="0000597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B4135D">
        <w:rPr>
          <w:lang w:val="uk-UA" w:eastAsia="ru-RU"/>
        </w:rPr>
        <w:t xml:space="preserve">                            Олександр СИТАЙЛО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8B7315" w:rsidRDefault="008B731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B4135D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B4135D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B2937" w:rsidRDefault="004D67E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3F5FD9" w:rsidRDefault="003F5FD9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3F5FD9" w:rsidRDefault="003F5FD9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3F5FD9" w:rsidRPr="00D36546" w:rsidRDefault="003F5FD9" w:rsidP="003F5FD9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</w:t>
      </w:r>
      <w:r w:rsidR="004749D4">
        <w:rPr>
          <w:sz w:val="24"/>
          <w:szCs w:val="24"/>
          <w:lang w:val="uk-UA"/>
        </w:rPr>
        <w:t xml:space="preserve">  1</w:t>
      </w:r>
      <w:r w:rsidRPr="00D36546">
        <w:rPr>
          <w:sz w:val="24"/>
          <w:szCs w:val="24"/>
          <w:lang w:val="uk-UA"/>
        </w:rPr>
        <w:t xml:space="preserve"> </w:t>
      </w:r>
    </w:p>
    <w:p w:rsidR="003F5FD9" w:rsidRPr="00D36546" w:rsidRDefault="003F5FD9" w:rsidP="003F5FD9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3F5FD9" w:rsidRPr="00D36546" w:rsidRDefault="003F5FD9" w:rsidP="003F5FD9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3F5FD9" w:rsidRPr="00D36546" w:rsidRDefault="003F5FD9" w:rsidP="003F5FD9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</w:t>
      </w:r>
      <w:r w:rsidR="00B6121F">
        <w:rPr>
          <w:sz w:val="24"/>
          <w:szCs w:val="24"/>
          <w:lang w:val="uk-UA"/>
        </w:rPr>
        <w:t xml:space="preserve">    від 21.05.2021 </w:t>
      </w:r>
      <w:r w:rsidRPr="00D36546">
        <w:rPr>
          <w:sz w:val="24"/>
          <w:szCs w:val="24"/>
          <w:lang w:val="uk-UA"/>
        </w:rPr>
        <w:t>№</w:t>
      </w:r>
      <w:r w:rsidR="00B6121F">
        <w:rPr>
          <w:sz w:val="24"/>
          <w:szCs w:val="24"/>
          <w:lang w:val="uk-UA"/>
        </w:rPr>
        <w:t>161</w:t>
      </w:r>
      <w:r>
        <w:rPr>
          <w:sz w:val="24"/>
          <w:szCs w:val="24"/>
          <w:lang w:val="uk-UA"/>
        </w:rPr>
        <w:t xml:space="preserve"> </w:t>
      </w:r>
    </w:p>
    <w:p w:rsidR="003F5FD9" w:rsidRPr="00D36546" w:rsidRDefault="003F5FD9" w:rsidP="003F5FD9">
      <w:pPr>
        <w:rPr>
          <w:b/>
          <w:bCs/>
          <w:lang w:val="uk-UA"/>
        </w:rPr>
      </w:pPr>
    </w:p>
    <w:p w:rsidR="003F5FD9" w:rsidRPr="00D36546" w:rsidRDefault="003F5FD9" w:rsidP="003F5FD9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51"/>
      </w:tblGrid>
      <w:tr w:rsidR="003F5FD9" w:rsidRPr="00D36546" w:rsidTr="006A7DF5">
        <w:tc>
          <w:tcPr>
            <w:tcW w:w="1130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81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3F5FD9" w:rsidRPr="00D36546" w:rsidRDefault="003F5FD9" w:rsidP="006A7DF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3F5FD9" w:rsidRPr="00D36546" w:rsidRDefault="003F5FD9" w:rsidP="006A7DF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51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3F5FD9" w:rsidRPr="00D36546" w:rsidTr="006A7DF5">
        <w:trPr>
          <w:trHeight w:val="207"/>
        </w:trPr>
        <w:tc>
          <w:tcPr>
            <w:tcW w:w="1130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1" w:type="dxa"/>
          </w:tcPr>
          <w:p w:rsidR="003F5FD9" w:rsidRPr="00D36546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51" w:type="dxa"/>
          </w:tcPr>
          <w:p w:rsidR="003F5FD9" w:rsidRPr="00EB2937" w:rsidRDefault="003F5FD9" w:rsidP="006A7DF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Приходька              (напроти Фабрики банкнотного паперу)</w:t>
            </w:r>
          </w:p>
        </w:tc>
      </w:tr>
      <w:tr w:rsidR="003F5FD9" w:rsidRPr="00D36546" w:rsidTr="006A7DF5">
        <w:tc>
          <w:tcPr>
            <w:tcW w:w="1130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3F5FD9" w:rsidRDefault="003F5FD9" w:rsidP="006A7DF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3F5FD9" w:rsidRDefault="006307E2" w:rsidP="006A7DF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2151" w:type="dxa"/>
          </w:tcPr>
          <w:p w:rsidR="003F5FD9" w:rsidRDefault="003F5FD9" w:rsidP="006A7DF5">
            <w:pPr>
              <w:rPr>
                <w:sz w:val="16"/>
                <w:szCs w:val="16"/>
                <w:lang w:val="uk-UA" w:eastAsia="ru-RU"/>
              </w:rPr>
            </w:pPr>
          </w:p>
        </w:tc>
      </w:tr>
    </w:tbl>
    <w:p w:rsidR="003F5FD9" w:rsidRPr="00D36546" w:rsidRDefault="003F5FD9" w:rsidP="003F5FD9">
      <w:pPr>
        <w:rPr>
          <w:sz w:val="20"/>
          <w:szCs w:val="20"/>
          <w:lang w:val="uk-UA"/>
        </w:rPr>
      </w:pPr>
    </w:p>
    <w:p w:rsidR="003F5FD9" w:rsidRPr="00D36546" w:rsidRDefault="003F5FD9" w:rsidP="003F5FD9">
      <w:pPr>
        <w:jc w:val="center"/>
        <w:rPr>
          <w:b/>
          <w:bCs/>
          <w:lang w:val="uk-UA"/>
        </w:rPr>
      </w:pPr>
    </w:p>
    <w:p w:rsidR="003F5FD9" w:rsidRPr="00D36546" w:rsidRDefault="003F5FD9" w:rsidP="003F5FD9">
      <w:pPr>
        <w:rPr>
          <w:lang w:val="uk-UA"/>
        </w:rPr>
      </w:pPr>
    </w:p>
    <w:p w:rsidR="003F5FD9" w:rsidRDefault="003F5FD9" w:rsidP="003F5FD9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Ірина КОПИЛО</w:t>
      </w:r>
    </w:p>
    <w:p w:rsidR="003F5FD9" w:rsidRDefault="003F5FD9" w:rsidP="003F5FD9">
      <w:pPr>
        <w:tabs>
          <w:tab w:val="left" w:pos="2957"/>
        </w:tabs>
        <w:rPr>
          <w:lang w:val="uk-UA"/>
        </w:rPr>
      </w:pPr>
    </w:p>
    <w:p w:rsidR="003F5FD9" w:rsidRDefault="003F5FD9" w:rsidP="003F5FD9">
      <w:pPr>
        <w:rPr>
          <w:lang w:val="uk-UA"/>
        </w:rPr>
      </w:pPr>
    </w:p>
    <w:p w:rsidR="003F5FD9" w:rsidRPr="00D36546" w:rsidRDefault="003F5FD9" w:rsidP="003F5FD9">
      <w:pPr>
        <w:rPr>
          <w:lang w:val="uk-UA"/>
        </w:rPr>
      </w:pPr>
    </w:p>
    <w:p w:rsidR="003F5FD9" w:rsidRPr="00D36546" w:rsidRDefault="003F5FD9" w:rsidP="003B7C1A">
      <w:pPr>
        <w:spacing w:after="0" w:line="240" w:lineRule="auto"/>
        <w:ind w:firstLine="1560"/>
        <w:rPr>
          <w:sz w:val="24"/>
          <w:szCs w:val="24"/>
          <w:lang w:val="uk-UA"/>
        </w:rPr>
      </w:pPr>
    </w:p>
    <w:sectPr w:rsidR="003F5FD9" w:rsidRPr="00D36546" w:rsidSect="00776641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A4B7F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32C88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192C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5FD9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49D4"/>
    <w:rsid w:val="0048220F"/>
    <w:rsid w:val="0048639D"/>
    <w:rsid w:val="00490B19"/>
    <w:rsid w:val="004926E0"/>
    <w:rsid w:val="004961B3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5A10"/>
    <w:rsid w:val="0061717C"/>
    <w:rsid w:val="006173DD"/>
    <w:rsid w:val="006307E2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7B4F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6641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A758F"/>
    <w:rsid w:val="008B7315"/>
    <w:rsid w:val="008D4C58"/>
    <w:rsid w:val="008D7CA5"/>
    <w:rsid w:val="008E6E80"/>
    <w:rsid w:val="008E7D43"/>
    <w:rsid w:val="008F0C8F"/>
    <w:rsid w:val="0090521D"/>
    <w:rsid w:val="00923654"/>
    <w:rsid w:val="009338CD"/>
    <w:rsid w:val="009476DF"/>
    <w:rsid w:val="009507CC"/>
    <w:rsid w:val="00952C32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D6CFD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4135D"/>
    <w:rsid w:val="00B57966"/>
    <w:rsid w:val="00B6121F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63C08"/>
    <w:rsid w:val="00F754A6"/>
    <w:rsid w:val="00F84D81"/>
    <w:rsid w:val="00FA36FC"/>
    <w:rsid w:val="00FA3722"/>
    <w:rsid w:val="00FB2AEC"/>
    <w:rsid w:val="00FB7094"/>
    <w:rsid w:val="00FC4196"/>
    <w:rsid w:val="00FC763D"/>
    <w:rsid w:val="00FD212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8C86-7235-4688-99C4-7B8E4AA1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304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2021-05-24T09:31:00Z</cp:lastPrinted>
  <dcterms:created xsi:type="dcterms:W3CDTF">2021-05-17T10:26:00Z</dcterms:created>
  <dcterms:modified xsi:type="dcterms:W3CDTF">2021-05-24T09:31:00Z</dcterms:modified>
</cp:coreProperties>
</file>